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F0" w:rsidRPr="00EB58F0" w:rsidRDefault="00EB58F0" w:rsidP="00EB58F0">
      <w:pPr>
        <w:keepNext/>
        <w:keepLines/>
        <w:spacing w:before="260" w:after="260" w:line="41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36"/>
          <w:szCs w:val="32"/>
        </w:rPr>
      </w:pPr>
      <w:bookmarkStart w:id="0" w:name="_Toc471828297"/>
      <w:r w:rsidRPr="00EB58F0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财政学专业培养方案</w:t>
      </w:r>
      <w:bookmarkEnd w:id="0"/>
    </w:p>
    <w:p w:rsidR="00EB58F0" w:rsidRPr="00EB58F0" w:rsidRDefault="00EB58F0" w:rsidP="00EB58F0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（专业代码：020201K）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 xml:space="preserve">一、培养目标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本专业培养践行社会主义核心价值观，具有社会责任感，掌握良好的经济学和财政税收基本理论和方法,熟悉我国财税政策法规,了解我国财经运行状况，系统掌握财税和财会业务技能，能在财政、税务、国有资产管理与评估、社会保障等公共经济管理部门和各类企事业单位、非营利组织等相关领域或岗位，从事财税应用、管理与咨询等工作，富有团队精神、公共意识和国际视野的应用型、复合型的高素质专门人才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二、培养要求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本专业学生主要学习财政、税收、经济学和财会方面的基本理论和基本知识，接受政府预算、财政收支管理、政府采购、行政事业单位会计、税收实务、国有资产管理与评估、社会保障等方面技能和方法的基本训练，并具有以下几方面的具体知识和能力：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1．掌握经济学学科及财税专业方面的基本理论和基本知识；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2．掌握现代实证和规范分析、案例分析、演绎分析和归纳分析、数理分析等分析方法，掌握计算机信息技术与现代统计分析技术；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3．掌握财政管理、预算编制、政府采购、国有资产管理与评估、行政事业单位会计、税务管理等方面的专业知识和技能，具有运用专业知识发现、分析、解决问题的基本能力以及一定的专业实践与创新能力；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4．熟悉国家在经济领域尤其是财税领域的方针、政策和法规；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5．了解财税经济管理的理论前沿、发展动态与行业需求；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 xml:space="preserve">6．具有一定的科学研究与实际工作能力，以及一定的批判性思维能力； 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7．具有一定的本专业文献检索、外文资料阅读、论文写作、外语与跨文化交流能力。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三、就业导向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在财政、税务、公共投资、国有资产管理、非营利性组织等相关领域或工作岗位，从事应用、管理与咨询等工作的应用型、复合型的高素质专门人才。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四、核心课程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宏观经济学、微观经济学、财政学、公共支出管理、中国税制、公共预算管理、国有资产管理、非税收入管理、公债学、预算资金管理实务、地方财政学、Public Economics（双语）、中级财务会计等。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五、实践教学环节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实践性教学环节主要包括专业课程实验、创新创业实践、文献综述、毕业实习和毕业论文等，提高学生的应用能力、实践操作能力和创新、创业能力。其中，专业课程实验包括相关课程内部的课程实验、财政专业基础实验、财政专业综合实验、财税管理模拟实验、财经软件应用实验、案例教学实践等。拓展课堂教学，设置社会实践、社会工作与社团活动、演讲沟通、综合写作、参加讲座、读书活动、科技文化活动等7个模块，引导学生个性发展，培养与提升学生的实践能力。具体包括社会实践、读书活动、综合写作、演讲沟通、财税知识竞赛、财税专业技能竞赛、公益志愿财税知识宣传等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六、创新创业教育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创新创业基础课、创新创业选修课、创新创业实践课、大学生挑战杯、科技作品、大学生创新创业训练计划等。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七、修业年限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基本学制为四年，最长修业年限为六年。学生在修业年限内修满规定学分方可取得毕业资格。</w:t>
      </w:r>
    </w:p>
    <w:p w:rsidR="00EB58F0" w:rsidRPr="00EB58F0" w:rsidRDefault="00EB58F0" w:rsidP="00EB58F0">
      <w:pPr>
        <w:widowControl/>
        <w:ind w:firstLineChars="200" w:firstLine="542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八、学位授予</w:t>
      </w:r>
    </w:p>
    <w:p w:rsidR="00EB58F0" w:rsidRPr="00EB58F0" w:rsidRDefault="00EB58F0" w:rsidP="00EB58F0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EB58F0">
        <w:rPr>
          <w:rFonts w:ascii="宋体" w:eastAsia="宋体" w:hAnsi="宋体" w:cs="宋体" w:hint="eastAsia"/>
          <w:kern w:val="0"/>
          <w:sz w:val="22"/>
        </w:rPr>
        <w:t>符合学士学位授予条件者授予经济学学士学位。</w:t>
      </w:r>
    </w:p>
    <w:p w:rsidR="00EB58F0" w:rsidRPr="00EB58F0" w:rsidRDefault="00EB58F0" w:rsidP="00EB58F0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财政学专业课程结构分析表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74"/>
        <w:gridCol w:w="1595"/>
        <w:gridCol w:w="1492"/>
        <w:gridCol w:w="1360"/>
        <w:gridCol w:w="1329"/>
        <w:gridCol w:w="1357"/>
      </w:tblGrid>
      <w:tr w:rsidR="00EB58F0" w:rsidRPr="00EB58F0" w:rsidTr="009475B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课程性质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必修/选修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学分数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占总学分</w:t>
            </w: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比例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学时数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</w:t>
            </w: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教学学分</w:t>
            </w:r>
          </w:p>
        </w:tc>
      </w:tr>
      <w:tr w:rsidR="00EB58F0" w:rsidRPr="00EB58F0" w:rsidTr="009475BD">
        <w:trPr>
          <w:jc w:val="center"/>
        </w:trPr>
        <w:tc>
          <w:tcPr>
            <w:tcW w:w="705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通识教育课程</w:t>
            </w:r>
          </w:p>
        </w:tc>
        <w:tc>
          <w:tcPr>
            <w:tcW w:w="177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7.36%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≥0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45" w:type="dxa"/>
            <w:gridSpan w:val="2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500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7.36%</w:t>
            </w:r>
          </w:p>
        </w:tc>
        <w:tc>
          <w:tcPr>
            <w:tcW w:w="133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≥0</w:t>
            </w:r>
          </w:p>
        </w:tc>
      </w:tr>
      <w:tr w:rsidR="00EB58F0" w:rsidRPr="00EB58F0" w:rsidTr="009475BD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公共基础课程</w:t>
            </w: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35.58%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1020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2.45%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75" w:type="dxa"/>
            <w:gridSpan w:val="2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500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38.04%</w:t>
            </w:r>
          </w:p>
        </w:tc>
        <w:tc>
          <w:tcPr>
            <w:tcW w:w="133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1088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EB58F0" w:rsidRPr="00EB58F0" w:rsidTr="009475BD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专业教育课程</w:t>
            </w: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专业基础课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17.18%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476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专业主干课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12.27%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专业限定选修课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7.36%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≥0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专业任意选修课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7.36%</w:t>
            </w:r>
          </w:p>
        </w:tc>
        <w:tc>
          <w:tcPr>
            <w:tcW w:w="133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≥0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75" w:type="dxa"/>
            <w:gridSpan w:val="2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500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44.17%</w:t>
            </w:r>
          </w:p>
        </w:tc>
        <w:tc>
          <w:tcPr>
            <w:tcW w:w="133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1224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≥4</w:t>
            </w:r>
          </w:p>
        </w:tc>
      </w:tr>
      <w:tr w:rsidR="00EB58F0" w:rsidRPr="00EB58F0" w:rsidTr="009475BD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专业综合实践</w:t>
            </w: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6.75%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75" w:type="dxa"/>
            <w:gridSpan w:val="2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500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6.75%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EB58F0" w:rsidRPr="00EB58F0" w:rsidTr="009475BD">
        <w:trPr>
          <w:jc w:val="center"/>
        </w:trPr>
        <w:tc>
          <w:tcPr>
            <w:tcW w:w="720" w:type="dxa"/>
            <w:vMerge w:val="restart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第二课堂活动</w:t>
            </w: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3.07%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选修模块</w:t>
            </w:r>
          </w:p>
        </w:tc>
        <w:tc>
          <w:tcPr>
            <w:tcW w:w="157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0.61%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EB58F0" w:rsidRPr="00EB58F0" w:rsidTr="009475B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75" w:type="dxa"/>
            <w:gridSpan w:val="2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500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3.68%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EB58F0" w:rsidRPr="00EB58F0" w:rsidTr="009475BD">
        <w:trPr>
          <w:jc w:val="center"/>
        </w:trPr>
        <w:tc>
          <w:tcPr>
            <w:tcW w:w="4110" w:type="dxa"/>
            <w:gridSpan w:val="3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必修模块合计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74.85%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</w:tr>
      <w:tr w:rsidR="00EB58F0" w:rsidRPr="00EB58F0" w:rsidTr="009475BD">
        <w:trPr>
          <w:jc w:val="center"/>
        </w:trPr>
        <w:tc>
          <w:tcPr>
            <w:tcW w:w="4110" w:type="dxa"/>
            <w:gridSpan w:val="3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选修模块合计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25.15%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</w:tr>
      <w:tr w:rsidR="00EB58F0" w:rsidRPr="00EB58F0" w:rsidTr="009475BD">
        <w:trPr>
          <w:jc w:val="center"/>
        </w:trPr>
        <w:tc>
          <w:tcPr>
            <w:tcW w:w="4110" w:type="dxa"/>
            <w:gridSpan w:val="3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实践教学环节合计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≥17.18%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≥28</w:t>
            </w:r>
          </w:p>
        </w:tc>
      </w:tr>
      <w:tr w:rsidR="00EB58F0" w:rsidRPr="00EB58F0" w:rsidTr="009475BD">
        <w:trPr>
          <w:jc w:val="center"/>
        </w:trPr>
        <w:tc>
          <w:tcPr>
            <w:tcW w:w="4110" w:type="dxa"/>
            <w:gridSpan w:val="3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毕业应修总学分</w:t>
            </w:r>
          </w:p>
        </w:tc>
        <w:tc>
          <w:tcPr>
            <w:tcW w:w="15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财政学专业教学计划进程表（公共基础课）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867"/>
        <w:gridCol w:w="483"/>
        <w:gridCol w:w="678"/>
        <w:gridCol w:w="521"/>
        <w:gridCol w:w="688"/>
        <w:gridCol w:w="345"/>
        <w:gridCol w:w="345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61A1619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思想道德修养与法律基础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61A1621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61A1616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61A1618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61A1620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形势与政策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97A1652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军事理论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1+1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62A1639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体育1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62A1640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体育2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B683E" w:rsidRPr="00EB58F0" w:rsidTr="009475BD">
        <w:trPr>
          <w:trHeight w:val="405"/>
          <w:jc w:val="center"/>
        </w:trPr>
        <w:tc>
          <w:tcPr>
            <w:tcW w:w="154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62A1685</w:t>
            </w:r>
          </w:p>
        </w:tc>
        <w:tc>
          <w:tcPr>
            <w:tcW w:w="5580" w:type="dxa"/>
            <w:vAlign w:val="center"/>
          </w:tcPr>
          <w:p w:rsidR="00FB683E" w:rsidRPr="00EB58F0" w:rsidRDefault="00FB683E" w:rsidP="00EB58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体育3</w:t>
            </w:r>
          </w:p>
        </w:tc>
        <w:tc>
          <w:tcPr>
            <w:tcW w:w="61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B683E" w:rsidRPr="00EB58F0" w:rsidTr="009475BD">
        <w:trPr>
          <w:trHeight w:val="405"/>
          <w:jc w:val="center"/>
        </w:trPr>
        <w:tc>
          <w:tcPr>
            <w:tcW w:w="154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  <w:r>
              <w:rPr>
                <w:rFonts w:ascii="宋体" w:eastAsia="宋体" w:hAnsi="宋体" w:cs="宋体"/>
                <w:kern w:val="0"/>
                <w:sz w:val="22"/>
              </w:rPr>
              <w:t>A1686</w:t>
            </w:r>
          </w:p>
        </w:tc>
        <w:tc>
          <w:tcPr>
            <w:tcW w:w="5580" w:type="dxa"/>
            <w:vAlign w:val="center"/>
          </w:tcPr>
          <w:p w:rsidR="00FB683E" w:rsidRPr="00EB58F0" w:rsidRDefault="00FB683E" w:rsidP="00EB58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体育4</w:t>
            </w:r>
          </w:p>
        </w:tc>
        <w:tc>
          <w:tcPr>
            <w:tcW w:w="61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</w:tcPr>
          <w:p w:rsidR="00FB683E" w:rsidRPr="00EB58F0" w:rsidRDefault="00FB683E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51A1321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大学英语（上）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3+2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51A1322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大学英语（下）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3+2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英语选修（应修满2学分）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52A1443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大学语文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42A1170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Excel经济统计分析与应用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42A1177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数据库管理系统应用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43A1279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微积分（上）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43A1280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微积分（下）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43A1283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线性代数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43A1271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98A1653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创新创业基础1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98A1654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创新创业基础2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创新创业选修（应修满2学分）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7.0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财政学专业教学计划进程表（专业基础课）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3985"/>
        <w:gridCol w:w="502"/>
        <w:gridCol w:w="704"/>
        <w:gridCol w:w="502"/>
        <w:gridCol w:w="723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99B1672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学科导论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12B0070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财政学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22B0474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管理学原理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21B0353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基础会计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13B0123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11B0015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微观经济学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11B0018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政治经济学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11B0013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11B0007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计量经济学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11B0005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宏观经济学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0.0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财政学专业教学计划进程表（专业主干课）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4008"/>
        <w:gridCol w:w="499"/>
        <w:gridCol w:w="699"/>
        <w:gridCol w:w="499"/>
        <w:gridCol w:w="71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12C0076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公共支出管理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12C0075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公共预算管理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12C0082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中国税制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12C0072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财政绩效管理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12C0074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公共经济学（双语）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12C0081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预算资金管理实务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12C0073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非税收入管理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4.0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财政学专业教学计划进程表（专业限定选修课）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3985"/>
        <w:gridCol w:w="502"/>
        <w:gridCol w:w="704"/>
        <w:gridCol w:w="502"/>
        <w:gridCol w:w="723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12D0095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政府采购管理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12D0088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公债学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12D0086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财税计量应用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12D0087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地方财政学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12D0091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税收管理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12D0090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国有资产管理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21D0397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21D0439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中级财务会计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4.5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2"/>
          <w:szCs w:val="24"/>
        </w:rPr>
        <w:t xml:space="preserve">注：专业限定选修课应修满12学分。 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财政学教学计划进程表（专业任意选修课）</w:t>
      </w: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076"/>
        <w:gridCol w:w="509"/>
        <w:gridCol w:w="682"/>
        <w:gridCol w:w="540"/>
        <w:gridCol w:w="7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6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6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712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具体课程见经管类专业任意选修课程一览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2"/>
          <w:szCs w:val="24"/>
        </w:rPr>
        <w:t xml:space="preserve">注：专业任意选修课应修满12学分。 </w:t>
      </w: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财政学专业教学计划进程表（专业综合实践）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3985"/>
        <w:gridCol w:w="497"/>
        <w:gridCol w:w="732"/>
        <w:gridCol w:w="497"/>
        <w:gridCol w:w="714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5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12G0117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财政专业综合实验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99G1669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创新创业实践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99G1667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文献综述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99G1670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毕业设计（论文）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spacing w:val="-20"/>
                <w:kern w:val="0"/>
                <w:sz w:val="22"/>
              </w:rPr>
              <w:t>20周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spacing w:val="-20"/>
                <w:kern w:val="0"/>
                <w:sz w:val="22"/>
              </w:rPr>
              <w:t>20周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★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154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99G1668</w:t>
            </w:r>
          </w:p>
        </w:tc>
        <w:tc>
          <w:tcPr>
            <w:tcW w:w="558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毕业实习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8周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8周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11.0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财政学教学计划进程表（通识教育选修课）</w:t>
      </w: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4112"/>
        <w:gridCol w:w="502"/>
        <w:gridCol w:w="742"/>
        <w:gridCol w:w="532"/>
        <w:gridCol w:w="742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  <w:jc w:val="center"/>
        </w:trPr>
        <w:tc>
          <w:tcPr>
            <w:tcW w:w="142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55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0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0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  <w:jc w:val="center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97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具体课程见通识教育选修课程一览</w:t>
            </w:r>
          </w:p>
        </w:tc>
        <w:tc>
          <w:tcPr>
            <w:tcW w:w="6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B58F0" w:rsidRPr="00EB58F0" w:rsidTr="009475BD">
        <w:trPr>
          <w:trHeight w:val="405"/>
          <w:jc w:val="center"/>
        </w:trPr>
        <w:tc>
          <w:tcPr>
            <w:tcW w:w="697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204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2"/>
          <w:szCs w:val="24"/>
        </w:rPr>
        <w:t>注：通识教育选修课应修满12学分。</w:t>
      </w: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EB58F0" w:rsidRPr="00EB58F0" w:rsidRDefault="00EB58F0" w:rsidP="00EB58F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b/>
          <w:bCs/>
          <w:kern w:val="0"/>
          <w:sz w:val="27"/>
          <w:szCs w:val="27"/>
        </w:rPr>
        <w:t>财政学教学计划进程表（第二课堂活动）</w:t>
      </w: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008"/>
        <w:gridCol w:w="510"/>
        <w:gridCol w:w="684"/>
        <w:gridCol w:w="510"/>
        <w:gridCol w:w="739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B58F0" w:rsidRPr="00EB58F0" w:rsidTr="009475BD">
        <w:trPr>
          <w:trHeight w:val="285"/>
        </w:trPr>
        <w:tc>
          <w:tcPr>
            <w:tcW w:w="168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课程代码</w:t>
            </w:r>
          </w:p>
        </w:tc>
        <w:tc>
          <w:tcPr>
            <w:tcW w:w="544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学分</w:t>
            </w:r>
          </w:p>
        </w:tc>
        <w:tc>
          <w:tcPr>
            <w:tcW w:w="85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含实践教学学分</w:t>
            </w:r>
          </w:p>
        </w:tc>
        <w:tc>
          <w:tcPr>
            <w:tcW w:w="615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学时</w:t>
            </w:r>
          </w:p>
        </w:tc>
        <w:tc>
          <w:tcPr>
            <w:tcW w:w="930" w:type="dxa"/>
            <w:vMerge w:val="restart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含实践教学学时</w:t>
            </w:r>
          </w:p>
        </w:tc>
        <w:tc>
          <w:tcPr>
            <w:tcW w:w="0" w:type="auto"/>
            <w:gridSpan w:val="8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学期</w:t>
            </w:r>
          </w:p>
        </w:tc>
      </w:tr>
      <w:tr w:rsidR="00EB58F0" w:rsidRPr="00EB58F0" w:rsidTr="009475BD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</w:t>
            </w:r>
          </w:p>
        </w:tc>
        <w:tc>
          <w:tcPr>
            <w:tcW w:w="0" w:type="auto"/>
            <w:shd w:val="clear" w:color="auto" w:fill="C2C2C2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八</w:t>
            </w:r>
          </w:p>
        </w:tc>
      </w:tr>
      <w:tr w:rsidR="00EB58F0" w:rsidRPr="00EB58F0" w:rsidTr="009475BD">
        <w:trPr>
          <w:trHeight w:val="600"/>
        </w:trPr>
        <w:tc>
          <w:tcPr>
            <w:tcW w:w="712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具体课程见《关于推进职业发展教育、创业教育、第二课堂活动一体化建设的实施意见》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B58F0" w:rsidRPr="00EB58F0" w:rsidTr="009475BD">
        <w:trPr>
          <w:trHeight w:val="405"/>
        </w:trPr>
        <w:tc>
          <w:tcPr>
            <w:tcW w:w="6195" w:type="dxa"/>
            <w:gridSpan w:val="2"/>
            <w:vAlign w:val="center"/>
            <w:hideMark/>
          </w:tcPr>
          <w:p w:rsidR="00EB58F0" w:rsidRPr="00EB58F0" w:rsidRDefault="00EB58F0" w:rsidP="00EB58F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85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615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B58F0" w:rsidRPr="00EB58F0" w:rsidRDefault="00EB58F0" w:rsidP="00EB5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B58F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B58F0" w:rsidRPr="00EB58F0" w:rsidRDefault="00EB58F0" w:rsidP="00EB58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8F0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C12DEA" w:rsidRDefault="00C12DEA"/>
    <w:sectPr w:rsidR="00C12DEA" w:rsidSect="004E15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F6" w:rsidRDefault="00F355F6" w:rsidP="00EB58F0">
      <w:r>
        <w:separator/>
      </w:r>
    </w:p>
  </w:endnote>
  <w:endnote w:type="continuationSeparator" w:id="0">
    <w:p w:rsidR="00F355F6" w:rsidRDefault="00F355F6" w:rsidP="00EB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F6" w:rsidRDefault="00F355F6" w:rsidP="00EB58F0">
      <w:r>
        <w:separator/>
      </w:r>
    </w:p>
  </w:footnote>
  <w:footnote w:type="continuationSeparator" w:id="0">
    <w:p w:rsidR="00F355F6" w:rsidRDefault="00F355F6" w:rsidP="00EB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E9704"/>
    <w:multiLevelType w:val="singleLevel"/>
    <w:tmpl w:val="550E9704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550EA039"/>
    <w:multiLevelType w:val="singleLevel"/>
    <w:tmpl w:val="550EA039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63CF4689"/>
    <w:multiLevelType w:val="hybridMultilevel"/>
    <w:tmpl w:val="A0F09604"/>
    <w:lvl w:ilvl="0" w:tplc="E1F05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3"/>
    <w:rsid w:val="000D48B3"/>
    <w:rsid w:val="004E159B"/>
    <w:rsid w:val="00875438"/>
    <w:rsid w:val="00BD5D58"/>
    <w:rsid w:val="00C12DEA"/>
    <w:rsid w:val="00EB58F0"/>
    <w:rsid w:val="00F355F6"/>
    <w:rsid w:val="00FB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DF67C-F47F-4DED-8880-97157086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58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专业"/>
    <w:basedOn w:val="a"/>
    <w:next w:val="a0"/>
    <w:link w:val="2Char"/>
    <w:uiPriority w:val="9"/>
    <w:unhideWhenUsed/>
    <w:qFormat/>
    <w:rsid w:val="00EB58F0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58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58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B58F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EB58F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EB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58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B58F0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58F0"/>
    <w:rPr>
      <w:b/>
      <w:bCs/>
      <w:kern w:val="44"/>
      <w:sz w:val="44"/>
      <w:szCs w:val="44"/>
    </w:rPr>
  </w:style>
  <w:style w:type="character" w:customStyle="1" w:styleId="2Char">
    <w:name w:val="标题 2 Char"/>
    <w:aliases w:val="专业 Char"/>
    <w:basedOn w:val="a1"/>
    <w:link w:val="2"/>
    <w:uiPriority w:val="9"/>
    <w:rsid w:val="00EB58F0"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1"/>
    <w:link w:val="3"/>
    <w:uiPriority w:val="9"/>
    <w:rsid w:val="00EB58F0"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EB58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EB58F0"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EB58F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EB5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1"/>
    <w:uiPriority w:val="99"/>
    <w:unhideWhenUsed/>
    <w:rsid w:val="00EB58F0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B58F0"/>
    <w:rPr>
      <w:color w:val="800080"/>
      <w:u w:val="single"/>
    </w:rPr>
  </w:style>
  <w:style w:type="character" w:styleId="a9">
    <w:name w:val="annotation reference"/>
    <w:semiHidden/>
    <w:rsid w:val="00EB58F0"/>
    <w:rPr>
      <w:rFonts w:cs="Times New Roman"/>
      <w:sz w:val="21"/>
      <w:szCs w:val="21"/>
    </w:rPr>
  </w:style>
  <w:style w:type="character" w:customStyle="1" w:styleId="textblack02">
    <w:name w:val="text_black02"/>
    <w:rsid w:val="00EB58F0"/>
    <w:rPr>
      <w:rFonts w:cs="Times New Roman"/>
    </w:rPr>
  </w:style>
  <w:style w:type="character" w:styleId="aa">
    <w:name w:val="Strong"/>
    <w:qFormat/>
    <w:rsid w:val="00EB58F0"/>
    <w:rPr>
      <w:rFonts w:cs="Times New Roman"/>
      <w:b/>
      <w:bCs/>
    </w:rPr>
  </w:style>
  <w:style w:type="character" w:customStyle="1" w:styleId="Char1">
    <w:name w:val="批注框文本 Char"/>
    <w:link w:val="ab"/>
    <w:semiHidden/>
    <w:rsid w:val="00EB58F0"/>
    <w:rPr>
      <w:rFonts w:eastAsia="宋体"/>
      <w:sz w:val="18"/>
      <w:szCs w:val="18"/>
    </w:rPr>
  </w:style>
  <w:style w:type="paragraph" w:styleId="ab">
    <w:name w:val="Balloon Text"/>
    <w:basedOn w:val="a"/>
    <w:link w:val="Char1"/>
    <w:semiHidden/>
    <w:rsid w:val="00EB58F0"/>
    <w:rPr>
      <w:rFonts w:eastAsia="宋体"/>
      <w:sz w:val="18"/>
      <w:szCs w:val="18"/>
    </w:rPr>
  </w:style>
  <w:style w:type="character" w:customStyle="1" w:styleId="Char10">
    <w:name w:val="批注框文本 Char1"/>
    <w:basedOn w:val="a1"/>
    <w:uiPriority w:val="99"/>
    <w:semiHidden/>
    <w:rsid w:val="00EB58F0"/>
    <w:rPr>
      <w:sz w:val="18"/>
      <w:szCs w:val="18"/>
    </w:rPr>
  </w:style>
  <w:style w:type="character" w:customStyle="1" w:styleId="Char2">
    <w:name w:val="批注主题 Char"/>
    <w:link w:val="ac"/>
    <w:semiHidden/>
    <w:rsid w:val="00EB58F0"/>
    <w:rPr>
      <w:b/>
      <w:bCs/>
    </w:rPr>
  </w:style>
  <w:style w:type="paragraph" w:styleId="ad">
    <w:name w:val="annotation text"/>
    <w:basedOn w:val="a"/>
    <w:link w:val="Char3"/>
    <w:semiHidden/>
    <w:unhideWhenUsed/>
    <w:rsid w:val="00EB58F0"/>
    <w:pPr>
      <w:jc w:val="left"/>
    </w:pPr>
  </w:style>
  <w:style w:type="character" w:customStyle="1" w:styleId="Char3">
    <w:name w:val="批注文字 Char"/>
    <w:basedOn w:val="a1"/>
    <w:link w:val="ad"/>
    <w:semiHidden/>
    <w:rsid w:val="00EB58F0"/>
  </w:style>
  <w:style w:type="paragraph" w:styleId="ac">
    <w:name w:val="annotation subject"/>
    <w:basedOn w:val="ad"/>
    <w:next w:val="ad"/>
    <w:link w:val="Char2"/>
    <w:semiHidden/>
    <w:rsid w:val="00EB58F0"/>
    <w:rPr>
      <w:b/>
      <w:bCs/>
    </w:rPr>
  </w:style>
  <w:style w:type="character" w:customStyle="1" w:styleId="Char11">
    <w:name w:val="批注主题 Char1"/>
    <w:basedOn w:val="Char3"/>
    <w:uiPriority w:val="99"/>
    <w:semiHidden/>
    <w:rsid w:val="00EB58F0"/>
    <w:rPr>
      <w:b/>
      <w:bCs/>
    </w:rPr>
  </w:style>
  <w:style w:type="paragraph" w:customStyle="1" w:styleId="Default">
    <w:name w:val="Default"/>
    <w:rsid w:val="00EB58F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ae">
    <w:name w:val="page number"/>
    <w:basedOn w:val="a1"/>
    <w:rsid w:val="00EB58F0"/>
  </w:style>
  <w:style w:type="paragraph" w:styleId="af">
    <w:name w:val="List Paragraph"/>
    <w:basedOn w:val="a"/>
    <w:uiPriority w:val="34"/>
    <w:qFormat/>
    <w:rsid w:val="00EB58F0"/>
    <w:pPr>
      <w:ind w:firstLineChars="200" w:firstLine="420"/>
    </w:pPr>
  </w:style>
  <w:style w:type="paragraph" w:customStyle="1" w:styleId="xl34">
    <w:name w:val="xl34"/>
    <w:basedOn w:val="a"/>
    <w:uiPriority w:val="99"/>
    <w:rsid w:val="00EB58F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18"/>
      <w:szCs w:val="18"/>
    </w:rPr>
  </w:style>
  <w:style w:type="paragraph" w:styleId="af0">
    <w:name w:val="Title"/>
    <w:aliases w:val="专业名"/>
    <w:basedOn w:val="a"/>
    <w:next w:val="a"/>
    <w:link w:val="Char4"/>
    <w:uiPriority w:val="10"/>
    <w:rsid w:val="00EB58F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pacing w:val="40"/>
      <w:sz w:val="36"/>
      <w:szCs w:val="32"/>
    </w:rPr>
  </w:style>
  <w:style w:type="character" w:customStyle="1" w:styleId="Char4">
    <w:name w:val="标题 Char"/>
    <w:aliases w:val="专业名 Char"/>
    <w:basedOn w:val="a1"/>
    <w:link w:val="af0"/>
    <w:uiPriority w:val="10"/>
    <w:rsid w:val="00EB58F0"/>
    <w:rPr>
      <w:rFonts w:asciiTheme="majorHAnsi" w:eastAsia="宋体" w:hAnsiTheme="majorHAnsi" w:cstheme="majorBidi"/>
      <w:b/>
      <w:bCs/>
      <w:spacing w:val="40"/>
      <w:sz w:val="36"/>
      <w:szCs w:val="32"/>
    </w:rPr>
  </w:style>
  <w:style w:type="paragraph" w:styleId="af1">
    <w:name w:val="Subtitle"/>
    <w:basedOn w:val="a"/>
    <w:next w:val="a"/>
    <w:link w:val="Char5"/>
    <w:uiPriority w:val="11"/>
    <w:qFormat/>
    <w:rsid w:val="00EB58F0"/>
    <w:pPr>
      <w:spacing w:before="240" w:after="60" w:line="312" w:lineRule="auto"/>
      <w:jc w:val="center"/>
      <w:outlineLvl w:val="1"/>
    </w:pPr>
    <w:rPr>
      <w:rFonts w:asciiTheme="majorHAnsi" w:eastAsia="方正小标宋简体" w:hAnsiTheme="majorHAnsi" w:cstheme="majorBidi"/>
      <w:bCs/>
      <w:kern w:val="28"/>
      <w:sz w:val="32"/>
      <w:szCs w:val="32"/>
    </w:rPr>
  </w:style>
  <w:style w:type="character" w:customStyle="1" w:styleId="Char5">
    <w:name w:val="副标题 Char"/>
    <w:basedOn w:val="a1"/>
    <w:link w:val="af1"/>
    <w:uiPriority w:val="11"/>
    <w:rsid w:val="00EB58F0"/>
    <w:rPr>
      <w:rFonts w:asciiTheme="majorHAnsi" w:eastAsia="方正小标宋简体" w:hAnsiTheme="majorHAnsi" w:cstheme="majorBidi"/>
      <w:bCs/>
      <w:kern w:val="28"/>
      <w:sz w:val="32"/>
      <w:szCs w:val="32"/>
    </w:rPr>
  </w:style>
  <w:style w:type="paragraph" w:styleId="a0">
    <w:name w:val="No Spacing"/>
    <w:uiPriority w:val="1"/>
    <w:qFormat/>
    <w:rsid w:val="00EB58F0"/>
    <w:pPr>
      <w:widowControl w:val="0"/>
      <w:jc w:val="both"/>
    </w:pPr>
  </w:style>
  <w:style w:type="paragraph" w:styleId="TOC">
    <w:name w:val="TOC Heading"/>
    <w:basedOn w:val="1"/>
    <w:next w:val="a"/>
    <w:uiPriority w:val="39"/>
    <w:unhideWhenUsed/>
    <w:qFormat/>
    <w:rsid w:val="00EB58F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B58F0"/>
    <w:pPr>
      <w:widowControl/>
      <w:tabs>
        <w:tab w:val="right" w:leader="dot" w:pos="9175"/>
      </w:tabs>
      <w:spacing w:after="100" w:line="259" w:lineRule="auto"/>
      <w:ind w:left="220"/>
      <w:jc w:val="left"/>
    </w:pPr>
    <w:rPr>
      <w:rFonts w:cs="Times New Roman"/>
      <w:noProof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EB58F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EB58F0"/>
    <w:pPr>
      <w:widowControl/>
      <w:tabs>
        <w:tab w:val="right" w:leader="dot" w:pos="9175"/>
      </w:tabs>
      <w:spacing w:after="100" w:line="259" w:lineRule="auto"/>
      <w:ind w:left="224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4</cp:revision>
  <dcterms:created xsi:type="dcterms:W3CDTF">2017-05-12T07:55:00Z</dcterms:created>
  <dcterms:modified xsi:type="dcterms:W3CDTF">2017-05-12T08:10:00Z</dcterms:modified>
</cp:coreProperties>
</file>